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E67A" w14:textId="77777777" w:rsidR="006440E2" w:rsidRDefault="006440E2" w:rsidP="006440E2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  <w:r>
        <w:rPr>
          <w:rFonts w:ascii="Frutiger LT Pro 47 Light Cn" w:hAnsi="Frutiger LT Pro 47 Light Cn" w:cs="Times New Roman"/>
          <w:i/>
          <w:snapToGrid w:val="0"/>
        </w:rPr>
        <w:t>Al</w:t>
      </w:r>
      <w:r w:rsidRPr="00F53793">
        <w:rPr>
          <w:rFonts w:ascii="Frutiger LT Pro 47 Light Cn" w:hAnsi="Frutiger LT Pro 47 Light Cn" w:cs="Times New Roman"/>
          <w:i/>
          <w:snapToGrid w:val="0"/>
        </w:rPr>
        <w:t>legato D</w:t>
      </w:r>
    </w:p>
    <w:p w14:paraId="12B8C96A" w14:textId="77777777" w:rsidR="006440E2" w:rsidRPr="00F53793" w:rsidRDefault="006440E2" w:rsidP="006440E2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56139AFC" w14:textId="77777777" w:rsidR="006440E2" w:rsidRPr="00F53793" w:rsidRDefault="006440E2" w:rsidP="006440E2">
      <w:pPr>
        <w:pStyle w:val="axNormal"/>
        <w:tabs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492D8738" w14:textId="77777777" w:rsidR="006440E2" w:rsidRDefault="006440E2" w:rsidP="006440E2">
      <w:pPr>
        <w:adjustRightInd w:val="0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DICHIARAZIONE SOSTITUTIVA DI ATTO DI NOTORIETA’</w:t>
      </w:r>
    </w:p>
    <w:p w14:paraId="72A948BB" w14:textId="77777777" w:rsidR="006440E2" w:rsidRDefault="006440E2" w:rsidP="006440E2">
      <w:pPr>
        <w:adjustRightInd w:val="0"/>
        <w:jc w:val="center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(</w:t>
      </w:r>
      <w:proofErr w:type="gramEnd"/>
      <w:r>
        <w:rPr>
          <w:rFonts w:ascii="Verdana" w:hAnsi="Verdana" w:cs="Verdana"/>
          <w:color w:val="000000"/>
        </w:rPr>
        <w:t>Art. 47 del D.P.R. 28 dicembre 2000, n. 445</w:t>
      </w:r>
      <w:proofErr w:type="gramStart"/>
      <w:r>
        <w:rPr>
          <w:rFonts w:ascii="Verdana" w:hAnsi="Verdana" w:cs="Verdana"/>
          <w:color w:val="000000"/>
        </w:rPr>
        <w:t>)</w:t>
      </w:r>
      <w:proofErr w:type="gramEnd"/>
    </w:p>
    <w:p w14:paraId="63582285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47313A6F" w14:textId="77777777" w:rsidR="006440E2" w:rsidRDefault="006440E2" w:rsidP="006440E2">
      <w:pPr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Allegata alla designazione per la nomina a Consigliere dell’ente strumentale di gestione </w:t>
      </w:r>
      <w:r w:rsidR="003F25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delle </w:t>
      </w: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24"/>
          <w:szCs w:val="24"/>
        </w:rPr>
        <w:t>“AREE PROTETTE DELL’OSSOLA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”</w:t>
      </w:r>
      <w:proofErr w:type="gramEnd"/>
    </w:p>
    <w:p w14:paraId="469B804D" w14:textId="77777777" w:rsidR="003F2568" w:rsidRDefault="003F2568" w:rsidP="006440E2">
      <w:pPr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5695EADB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>Il</w:t>
      </w:r>
      <w:r>
        <w:rPr>
          <w:rFonts w:ascii="Verdana" w:hAnsi="Verdana"/>
          <w:color w:val="000000"/>
        </w:rPr>
        <w:t>/La</w:t>
      </w:r>
      <w:r w:rsidRPr="006B6B4B">
        <w:rPr>
          <w:rFonts w:ascii="Verdana" w:hAnsi="Verdana"/>
          <w:color w:val="000000"/>
        </w:rPr>
        <w:t xml:space="preserve"> sottoscritto</w:t>
      </w:r>
      <w:r>
        <w:rPr>
          <w:rFonts w:ascii="Verdana" w:hAnsi="Verdana"/>
          <w:color w:val="000000"/>
        </w:rPr>
        <w:t>/a</w:t>
      </w:r>
      <w:r w:rsidRPr="006B6B4B">
        <w:rPr>
          <w:rFonts w:ascii="Verdana" w:hAnsi="Verdana"/>
          <w:color w:val="000000"/>
        </w:rPr>
        <w:t>_________________________________</w:t>
      </w:r>
      <w:r>
        <w:rPr>
          <w:rFonts w:ascii="Verdana" w:hAnsi="Verdana"/>
          <w:color w:val="000000"/>
        </w:rPr>
        <w:t>_______________________</w:t>
      </w:r>
    </w:p>
    <w:p w14:paraId="505FA814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>Nato</w:t>
      </w:r>
      <w:r>
        <w:rPr>
          <w:rFonts w:ascii="Verdana" w:hAnsi="Verdana"/>
          <w:color w:val="000000"/>
        </w:rPr>
        <w:t>/</w:t>
      </w:r>
      <w:proofErr w:type="gramStart"/>
      <w:r>
        <w:rPr>
          <w:rFonts w:ascii="Verdana" w:hAnsi="Verdana"/>
          <w:color w:val="000000"/>
        </w:rPr>
        <w:t>a</w:t>
      </w:r>
      <w:proofErr w:type="gramEnd"/>
      <w:r w:rsidRPr="006B6B4B">
        <w:rPr>
          <w:rFonts w:ascii="Verdana" w:hAnsi="Verdana"/>
          <w:color w:val="000000"/>
        </w:rPr>
        <w:t xml:space="preserve"> a_________________________(</w:t>
      </w:r>
      <w:proofErr w:type="spellStart"/>
      <w:r w:rsidRPr="006B6B4B">
        <w:rPr>
          <w:rFonts w:ascii="Verdana" w:hAnsi="Verdana"/>
          <w:color w:val="000000"/>
        </w:rPr>
        <w:t>prov</w:t>
      </w:r>
      <w:proofErr w:type="spellEnd"/>
      <w:r w:rsidRPr="006B6B4B">
        <w:rPr>
          <w:rFonts w:ascii="Verdana" w:hAnsi="Verdana"/>
          <w:color w:val="000000"/>
        </w:rPr>
        <w:t>.______) il__________________________</w:t>
      </w:r>
    </w:p>
    <w:p w14:paraId="00BFDCEA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>residente a__________________________________________________(</w:t>
      </w:r>
      <w:proofErr w:type="spellStart"/>
      <w:r w:rsidRPr="006B6B4B">
        <w:rPr>
          <w:rFonts w:ascii="Verdana" w:hAnsi="Verdana"/>
          <w:color w:val="000000"/>
        </w:rPr>
        <w:t>prov</w:t>
      </w:r>
      <w:proofErr w:type="spellEnd"/>
      <w:r w:rsidRPr="006B6B4B">
        <w:rPr>
          <w:rFonts w:ascii="Verdana" w:hAnsi="Verdana"/>
          <w:color w:val="000000"/>
        </w:rPr>
        <w:t>._____)</w:t>
      </w:r>
    </w:p>
    <w:p w14:paraId="5B8AA1B9" w14:textId="77777777" w:rsidR="006440E2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>in via ______________________________________________________,</w:t>
      </w:r>
    </w:p>
    <w:p w14:paraId="706B1032" w14:textId="77777777" w:rsidR="003F2568" w:rsidRPr="006B6B4B" w:rsidRDefault="003F2568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5659393C" w14:textId="77777777" w:rsidR="006440E2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proofErr w:type="gramStart"/>
      <w:r w:rsidRPr="006B6B4B">
        <w:rPr>
          <w:rFonts w:ascii="Verdana" w:hAnsi="Verdana"/>
          <w:color w:val="000000"/>
        </w:rPr>
        <w:t>in relazione alla</w:t>
      </w:r>
      <w:proofErr w:type="gramEnd"/>
      <w:r w:rsidRPr="006B6B4B">
        <w:rPr>
          <w:rFonts w:ascii="Verdana" w:hAnsi="Verdana"/>
          <w:color w:val="000000"/>
        </w:rPr>
        <w:t xml:space="preserve"> designazione a Consigliere dell’Ente di gestione</w:t>
      </w:r>
      <w:r>
        <w:rPr>
          <w:rFonts w:ascii="Verdana" w:hAnsi="Verdana"/>
          <w:color w:val="000000"/>
        </w:rPr>
        <w:t xml:space="preserve"> delle aree protette dell’Ossola</w:t>
      </w:r>
      <w:r w:rsidRPr="006B6B4B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consapevole delle sanzioni penali previste in caso di dichiarazioni non veritiere e di falsità negli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atti e della conseguente decadenza dai benefici eventualmente derivanti dal provvedimento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emanato sulla base della dichiarazione non veritiera di cui agli articoli 75 e 76 del D.P.R. 28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dicembre 2000 n. 445 (Testo unico delle disposizioni legislative e regolamentari in materia di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documentazione amministrativa),</w:t>
      </w:r>
    </w:p>
    <w:p w14:paraId="37F5A25E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6562B561" w14:textId="77777777" w:rsidR="006440E2" w:rsidRDefault="006440E2" w:rsidP="006440E2">
      <w:pPr>
        <w:widowControl w:val="0"/>
        <w:adjustRightInd w:val="0"/>
        <w:jc w:val="center"/>
        <w:rPr>
          <w:rFonts w:ascii="Verdana" w:hAnsi="Verdana"/>
          <w:color w:val="000000"/>
        </w:rPr>
      </w:pPr>
      <w:r w:rsidRPr="00D31E66">
        <w:rPr>
          <w:rFonts w:ascii="Verdana" w:hAnsi="Verdana"/>
          <w:color w:val="000000"/>
        </w:rPr>
        <w:t>DICHIARA</w:t>
      </w:r>
    </w:p>
    <w:p w14:paraId="16D54426" w14:textId="77777777" w:rsidR="003F2568" w:rsidRPr="00D31E66" w:rsidRDefault="003F2568" w:rsidP="006440E2">
      <w:pPr>
        <w:widowControl w:val="0"/>
        <w:adjustRightInd w:val="0"/>
        <w:jc w:val="center"/>
        <w:rPr>
          <w:rFonts w:ascii="Verdana" w:hAnsi="Verdana"/>
          <w:color w:val="000000"/>
        </w:rPr>
      </w:pPr>
    </w:p>
    <w:p w14:paraId="0EA42D97" w14:textId="77777777" w:rsidR="006440E2" w:rsidRPr="006B6B4B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 xml:space="preserve">- di non trovarsi in nessuna delle condizioni comportanti </w:t>
      </w:r>
      <w:proofErr w:type="spellStart"/>
      <w:r w:rsidRPr="006B6B4B">
        <w:rPr>
          <w:rFonts w:ascii="Verdana" w:hAnsi="Verdana"/>
          <w:color w:val="000000"/>
        </w:rPr>
        <w:t>incandidabilità</w:t>
      </w:r>
      <w:proofErr w:type="spellEnd"/>
      <w:r w:rsidRPr="006B6B4B">
        <w:rPr>
          <w:rFonts w:ascii="Verdana" w:hAnsi="Verdana"/>
          <w:color w:val="000000"/>
        </w:rPr>
        <w:t xml:space="preserve"> previste dall’art. </w:t>
      </w:r>
      <w:proofErr w:type="gramStart"/>
      <w:r w:rsidRPr="006B6B4B">
        <w:rPr>
          <w:rFonts w:ascii="Verdana" w:hAnsi="Verdana"/>
          <w:color w:val="000000"/>
        </w:rPr>
        <w:t>7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del decreto legislativo del 31 dicembre 2012, n. 235 (Testo unico delle disposizioni in</w:t>
      </w:r>
      <w:proofErr w:type="gramEnd"/>
    </w:p>
    <w:p w14:paraId="4B75ADC8" w14:textId="77777777" w:rsidR="006440E2" w:rsidRPr="006B6B4B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proofErr w:type="gramStart"/>
      <w:r w:rsidRPr="006B6B4B">
        <w:rPr>
          <w:rFonts w:ascii="Verdana" w:hAnsi="Verdana"/>
          <w:color w:val="000000"/>
        </w:rPr>
        <w:t>materia</w:t>
      </w:r>
      <w:proofErr w:type="gramEnd"/>
      <w:r w:rsidRPr="006B6B4B">
        <w:rPr>
          <w:rFonts w:ascii="Verdana" w:hAnsi="Verdana"/>
          <w:color w:val="000000"/>
        </w:rPr>
        <w:t xml:space="preserve"> di </w:t>
      </w:r>
      <w:proofErr w:type="spellStart"/>
      <w:r w:rsidRPr="006B6B4B">
        <w:rPr>
          <w:rFonts w:ascii="Verdana" w:hAnsi="Verdana"/>
          <w:color w:val="000000"/>
        </w:rPr>
        <w:t>incandidabilità</w:t>
      </w:r>
      <w:proofErr w:type="spellEnd"/>
      <w:r w:rsidRPr="006B6B4B">
        <w:rPr>
          <w:rFonts w:ascii="Verdana" w:hAnsi="Verdana"/>
          <w:color w:val="000000"/>
        </w:rPr>
        <w:t xml:space="preserve"> e di divieto di ricoprire cariche elettive e di Governo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conseguenti a sentenze definitive di condanna per delitti non colposi, a norma</w:t>
      </w:r>
      <w:r>
        <w:rPr>
          <w:rFonts w:ascii="Verdana" w:hAnsi="Verdana"/>
          <w:color w:val="000000"/>
        </w:rPr>
        <w:t xml:space="preserve"> </w:t>
      </w:r>
      <w:r w:rsidRPr="006B6B4B">
        <w:rPr>
          <w:rFonts w:ascii="Verdana" w:hAnsi="Verdana"/>
          <w:color w:val="000000"/>
        </w:rPr>
        <w:t>dell'articolo 1, comma 63, della legge 6 novembre 2012, n. 190).</w:t>
      </w:r>
    </w:p>
    <w:p w14:paraId="7C98A6C5" w14:textId="77777777" w:rsidR="006440E2" w:rsidRPr="006B6B4B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 xml:space="preserve">- di non trovarsi in alcuna delle condizioni </w:t>
      </w:r>
      <w:proofErr w:type="gramStart"/>
      <w:r w:rsidRPr="006B6B4B">
        <w:rPr>
          <w:rFonts w:ascii="Verdana" w:hAnsi="Verdana"/>
          <w:color w:val="000000"/>
        </w:rPr>
        <w:t xml:space="preserve">di </w:t>
      </w:r>
      <w:proofErr w:type="gramEnd"/>
      <w:r w:rsidRPr="006B6B4B">
        <w:rPr>
          <w:rFonts w:ascii="Verdana" w:hAnsi="Verdana"/>
          <w:color w:val="000000"/>
        </w:rPr>
        <w:t>inconferibilità previste dall’articolo 13 bis</w:t>
      </w:r>
    </w:p>
    <w:p w14:paraId="0742E0F6" w14:textId="77777777" w:rsidR="006440E2" w:rsidRPr="006B6B4B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proofErr w:type="gramStart"/>
      <w:r w:rsidRPr="006B6B4B">
        <w:rPr>
          <w:rFonts w:ascii="Verdana" w:hAnsi="Verdana"/>
          <w:color w:val="000000"/>
        </w:rPr>
        <w:t>della</w:t>
      </w:r>
      <w:proofErr w:type="gramEnd"/>
      <w:r w:rsidRPr="006B6B4B">
        <w:rPr>
          <w:rFonts w:ascii="Verdana" w:hAnsi="Verdana"/>
          <w:color w:val="000000"/>
        </w:rPr>
        <w:t xml:space="preserve"> legge regionale 23 marzo 1995, n. 39 (Criteri e disciplina delle nomine ed incarichi</w:t>
      </w:r>
    </w:p>
    <w:p w14:paraId="2BBCE78E" w14:textId="77777777" w:rsidR="006440E2" w:rsidRPr="006B6B4B" w:rsidRDefault="006440E2" w:rsidP="006440E2">
      <w:pPr>
        <w:widowControl w:val="0"/>
        <w:adjustRightInd w:val="0"/>
        <w:jc w:val="both"/>
        <w:rPr>
          <w:rFonts w:ascii="Verdana" w:hAnsi="Verdana"/>
          <w:color w:val="000000"/>
        </w:rPr>
      </w:pPr>
      <w:proofErr w:type="gramStart"/>
      <w:r w:rsidRPr="006B6B4B">
        <w:rPr>
          <w:rFonts w:ascii="Verdana" w:hAnsi="Verdana"/>
          <w:color w:val="000000"/>
        </w:rPr>
        <w:t>pubblici</w:t>
      </w:r>
      <w:proofErr w:type="gramEnd"/>
      <w:r w:rsidRPr="006B6B4B">
        <w:rPr>
          <w:rFonts w:ascii="Verdana" w:hAnsi="Verdana"/>
          <w:color w:val="000000"/>
        </w:rPr>
        <w:t xml:space="preserve"> di competenza regionale e dei rapporti tra la Regione ed i soggetti nominati).</w:t>
      </w:r>
    </w:p>
    <w:p w14:paraId="090BF02E" w14:textId="77777777" w:rsidR="006440E2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2A09D407" w14:textId="77777777" w:rsidR="006440E2" w:rsidRPr="006B6B4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6B6B4B">
        <w:rPr>
          <w:rFonts w:ascii="Verdana" w:hAnsi="Verdana"/>
          <w:color w:val="000000"/>
        </w:rPr>
        <w:t>Data</w:t>
      </w:r>
    </w:p>
    <w:p w14:paraId="5617D6AD" w14:textId="77777777" w:rsidR="006440E2" w:rsidRDefault="006440E2" w:rsidP="006440E2">
      <w:pPr>
        <w:widowControl w:val="0"/>
        <w:adjustRightInd w:val="0"/>
        <w:rPr>
          <w:color w:val="000000"/>
        </w:rPr>
      </w:pPr>
      <w:r>
        <w:rPr>
          <w:color w:val="000000"/>
        </w:rPr>
        <w:t>____________________</w:t>
      </w:r>
    </w:p>
    <w:p w14:paraId="6B938549" w14:textId="77777777" w:rsidR="006440E2" w:rsidRDefault="006440E2" w:rsidP="006440E2">
      <w:pPr>
        <w:widowControl w:val="0"/>
        <w:adjustRightInd w:val="0"/>
        <w:rPr>
          <w:color w:val="000000"/>
        </w:rPr>
      </w:pPr>
    </w:p>
    <w:p w14:paraId="156D2494" w14:textId="77777777" w:rsidR="006440E2" w:rsidRDefault="006440E2" w:rsidP="006440E2">
      <w:pPr>
        <w:widowControl w:val="0"/>
        <w:adjustRightInd w:val="0"/>
        <w:rPr>
          <w:color w:val="000000"/>
        </w:rPr>
      </w:pPr>
    </w:p>
    <w:p w14:paraId="1720FA57" w14:textId="77777777" w:rsidR="006440E2" w:rsidRPr="000E28AD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0E28AD">
        <w:rPr>
          <w:rFonts w:ascii="Verdana" w:hAnsi="Verdana"/>
          <w:color w:val="000000"/>
        </w:rPr>
        <w:t>FIRMA DEL DICHIARANTE</w:t>
      </w:r>
    </w:p>
    <w:p w14:paraId="67309466" w14:textId="77777777" w:rsidR="006440E2" w:rsidRDefault="006440E2" w:rsidP="006440E2">
      <w:pPr>
        <w:widowControl w:val="0"/>
        <w:adjustRightInd w:val="0"/>
        <w:rPr>
          <w:color w:val="000000"/>
        </w:rPr>
      </w:pPr>
      <w:r>
        <w:rPr>
          <w:color w:val="000000"/>
        </w:rPr>
        <w:t>________________________</w:t>
      </w:r>
    </w:p>
    <w:p w14:paraId="4DBA011E" w14:textId="77777777" w:rsidR="003F2568" w:rsidRDefault="003F2568" w:rsidP="006440E2">
      <w:pPr>
        <w:widowControl w:val="0"/>
        <w:adjustRightInd w:val="0"/>
        <w:rPr>
          <w:color w:val="000000"/>
        </w:rPr>
      </w:pPr>
    </w:p>
    <w:p w14:paraId="73C9C399" w14:textId="77777777" w:rsidR="006440E2" w:rsidRDefault="006440E2" w:rsidP="006440E2">
      <w:pPr>
        <w:widowControl w:val="0"/>
        <w:adjustRightInd w:val="0"/>
        <w:rPr>
          <w:color w:val="E13030"/>
          <w:sz w:val="18"/>
          <w:szCs w:val="18"/>
        </w:rPr>
      </w:pPr>
    </w:p>
    <w:p w14:paraId="1E61AD69" w14:textId="77777777" w:rsidR="003F2568" w:rsidRDefault="003F2568" w:rsidP="006440E2">
      <w:pPr>
        <w:widowControl w:val="0"/>
        <w:adjustRightInd w:val="0"/>
        <w:rPr>
          <w:color w:val="E13030"/>
          <w:sz w:val="18"/>
          <w:szCs w:val="18"/>
        </w:rPr>
      </w:pPr>
    </w:p>
    <w:p w14:paraId="24464D1E" w14:textId="77777777" w:rsidR="003F2568" w:rsidRDefault="003F2568" w:rsidP="006440E2">
      <w:pPr>
        <w:widowControl w:val="0"/>
        <w:adjustRightInd w:val="0"/>
        <w:rPr>
          <w:color w:val="E13030"/>
          <w:sz w:val="18"/>
          <w:szCs w:val="18"/>
        </w:rPr>
      </w:pPr>
    </w:p>
    <w:p w14:paraId="380945AD" w14:textId="77777777" w:rsidR="006440E2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b/>
          <w:color w:val="000000"/>
        </w:rPr>
        <w:t>Disposizioni normative richiamate nella dichiarazione sostitutiva di atto di notorietà</w:t>
      </w:r>
      <w:r>
        <w:rPr>
          <w:rFonts w:ascii="Verdana" w:hAnsi="Verdana"/>
          <w:b/>
          <w:color w:val="000000"/>
        </w:rPr>
        <w:t xml:space="preserve"> </w:t>
      </w:r>
      <w:r w:rsidRPr="00BF19CB">
        <w:rPr>
          <w:rFonts w:ascii="Verdana" w:hAnsi="Verdana"/>
          <w:b/>
          <w:color w:val="000000"/>
        </w:rPr>
        <w:t>Decreto legislativo del 31 dicembre 2012, n. 235</w:t>
      </w:r>
      <w:r w:rsidRPr="00BF19CB">
        <w:rPr>
          <w:rFonts w:ascii="Verdana" w:hAnsi="Verdana"/>
          <w:color w:val="000000"/>
        </w:rPr>
        <w:t xml:space="preserve"> (</w:t>
      </w:r>
      <w:r w:rsidRPr="0050628E">
        <w:rPr>
          <w:rFonts w:ascii="Verdana" w:hAnsi="Verdana"/>
          <w:i/>
          <w:color w:val="000000"/>
        </w:rPr>
        <w:t xml:space="preserve">Testo unico delle disposizioni in materia </w:t>
      </w:r>
      <w:proofErr w:type="gramStart"/>
      <w:r w:rsidRPr="0050628E">
        <w:rPr>
          <w:rFonts w:ascii="Verdana" w:hAnsi="Verdana"/>
          <w:i/>
          <w:color w:val="000000"/>
        </w:rPr>
        <w:t xml:space="preserve">di </w:t>
      </w:r>
      <w:proofErr w:type="spellStart"/>
      <w:proofErr w:type="gramEnd"/>
      <w:r w:rsidRPr="0050628E">
        <w:rPr>
          <w:rFonts w:ascii="Verdana" w:hAnsi="Verdana"/>
          <w:i/>
          <w:color w:val="000000"/>
        </w:rPr>
        <w:t>incandidabilità</w:t>
      </w:r>
      <w:proofErr w:type="spellEnd"/>
      <w:r w:rsidRPr="0050628E">
        <w:rPr>
          <w:rFonts w:ascii="Verdana" w:hAnsi="Verdana"/>
          <w:i/>
          <w:color w:val="000000"/>
        </w:rPr>
        <w:t xml:space="preserve"> e di divieto di ricoprire cariche elettive e di Governo conseguenti a sentenze definitive di condanna per delitti non colposi, a norma dell'articolo 1, comma 63, della legge 6 novembre 2012, n. 190).</w:t>
      </w:r>
    </w:p>
    <w:p w14:paraId="56C2C627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0938AAE0" w14:textId="77777777" w:rsidR="006440E2" w:rsidRPr="0050628E" w:rsidRDefault="006440E2" w:rsidP="006440E2">
      <w:pPr>
        <w:widowControl w:val="0"/>
        <w:adjustRightInd w:val="0"/>
        <w:rPr>
          <w:rFonts w:ascii="Verdana" w:hAnsi="Verdana"/>
          <w:b/>
          <w:i/>
          <w:color w:val="000000"/>
        </w:rPr>
      </w:pPr>
      <w:r w:rsidRPr="0050628E">
        <w:rPr>
          <w:rFonts w:ascii="Verdana" w:hAnsi="Verdana"/>
          <w:b/>
          <w:i/>
          <w:color w:val="000000"/>
        </w:rPr>
        <w:t>Art. 7</w:t>
      </w:r>
    </w:p>
    <w:p w14:paraId="5E000BA5" w14:textId="77777777" w:rsidR="006440E2" w:rsidRPr="0050628E" w:rsidRDefault="006440E2" w:rsidP="006440E2">
      <w:pPr>
        <w:widowControl w:val="0"/>
        <w:adjustRightInd w:val="0"/>
        <w:rPr>
          <w:rFonts w:ascii="Verdana" w:hAnsi="Verdana"/>
          <w:i/>
          <w:color w:val="000000"/>
        </w:rPr>
      </w:pPr>
      <w:proofErr w:type="spellStart"/>
      <w:r w:rsidRPr="0050628E">
        <w:rPr>
          <w:rFonts w:ascii="Verdana" w:hAnsi="Verdana"/>
          <w:i/>
          <w:color w:val="000000"/>
        </w:rPr>
        <w:t>Incandidabilità</w:t>
      </w:r>
      <w:proofErr w:type="spellEnd"/>
      <w:r w:rsidRPr="0050628E">
        <w:rPr>
          <w:rFonts w:ascii="Verdana" w:hAnsi="Verdana"/>
          <w:i/>
          <w:color w:val="000000"/>
        </w:rPr>
        <w:t xml:space="preserve"> alle elezioni regionali</w:t>
      </w:r>
    </w:p>
    <w:p w14:paraId="42CBA297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1. Non </w:t>
      </w:r>
      <w:proofErr w:type="gramStart"/>
      <w:r w:rsidRPr="00BF19CB">
        <w:rPr>
          <w:rFonts w:ascii="Verdana" w:hAnsi="Verdana"/>
          <w:color w:val="000000"/>
        </w:rPr>
        <w:t>possono</w:t>
      </w:r>
      <w:proofErr w:type="gramEnd"/>
      <w:r w:rsidRPr="00BF19CB">
        <w:rPr>
          <w:rFonts w:ascii="Verdana" w:hAnsi="Verdana"/>
          <w:color w:val="000000"/>
        </w:rPr>
        <w:t xml:space="preserve"> essere candidati alle elezioni regionali, e non possono comunque ricoprire le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cariche di presidente della giunta regionale, assessore e consigliere regionale, amministratore e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componente degli organi comunque denominati delle unità sanitarie locali:</w:t>
      </w:r>
    </w:p>
    <w:p w14:paraId="1929590B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a) </w:t>
      </w:r>
      <w:proofErr w:type="gramStart"/>
      <w:r w:rsidRPr="00BF19CB">
        <w:rPr>
          <w:rFonts w:ascii="Verdana" w:hAnsi="Verdana"/>
          <w:color w:val="000000"/>
        </w:rPr>
        <w:t>coloro che hanno</w:t>
      </w:r>
      <w:proofErr w:type="gramEnd"/>
      <w:r w:rsidRPr="00BF19CB">
        <w:rPr>
          <w:rFonts w:ascii="Verdana" w:hAnsi="Verdana"/>
          <w:color w:val="000000"/>
        </w:rPr>
        <w:t xml:space="preserve"> riportato condanna definitiva per il delitto previsto dall'articolo 416-bis del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codice penale o per il delitto di associazione finalizzata al traffico illecito di sostanze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stupefacenti o psicotrope di cui all'articolo 74 del testo unico approvato con decreto del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Presidente della Repubblica 9 ottobre 1990, n. 309, o per un delitto di cui all'articolo 73 del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citato testo unico, concernente la produzione o il traffico di dette sostanze, o per un delitto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lastRenderedPageBreak/>
        <w:t>concernente la fabbricazione, l'importazione, l'esportazione, la vendita o cessione, nonché, nei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casi in cui sia inflitta la pena della reclusione non inferiore ad un anno, il porto, il trasporto e la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detenzione di armi, munizioni o materie esplodenti, o per il delitto di favoreggiamento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personale o reale commesso in relazione a taluno dei predetti reati;</w:t>
      </w:r>
    </w:p>
    <w:p w14:paraId="6249BAD5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b) </w:t>
      </w:r>
      <w:proofErr w:type="gramStart"/>
      <w:r w:rsidRPr="00BF19CB">
        <w:rPr>
          <w:rFonts w:ascii="Verdana" w:hAnsi="Verdana"/>
          <w:color w:val="000000"/>
        </w:rPr>
        <w:t>coloro che hanno</w:t>
      </w:r>
      <w:proofErr w:type="gramEnd"/>
      <w:r w:rsidRPr="00BF19CB">
        <w:rPr>
          <w:rFonts w:ascii="Verdana" w:hAnsi="Verdana"/>
          <w:color w:val="000000"/>
        </w:rPr>
        <w:t xml:space="preserve"> riportato condanne definitive per i delitti, consumati o tentati, </w:t>
      </w:r>
      <w:proofErr w:type="spellStart"/>
      <w:r w:rsidRPr="00BF19CB">
        <w:rPr>
          <w:rFonts w:ascii="Verdana" w:hAnsi="Verdana"/>
          <w:color w:val="000000"/>
        </w:rPr>
        <w:t>previstidall'articolo</w:t>
      </w:r>
      <w:proofErr w:type="spellEnd"/>
      <w:r w:rsidRPr="00BF19CB">
        <w:rPr>
          <w:rFonts w:ascii="Verdana" w:hAnsi="Verdana"/>
          <w:color w:val="000000"/>
        </w:rPr>
        <w:t xml:space="preserve"> 51, commi 3-bis e 3-quater, del codice di procedura penale, diversi da quelli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indicati alla lettera a);</w:t>
      </w:r>
    </w:p>
    <w:p w14:paraId="4191744A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c) </w:t>
      </w:r>
      <w:proofErr w:type="gramStart"/>
      <w:r w:rsidRPr="00BF19CB">
        <w:rPr>
          <w:rFonts w:ascii="Verdana" w:hAnsi="Verdana"/>
          <w:color w:val="000000"/>
        </w:rPr>
        <w:t>coloro che hanno</w:t>
      </w:r>
      <w:proofErr w:type="gramEnd"/>
      <w:r w:rsidRPr="00BF19CB">
        <w:rPr>
          <w:rFonts w:ascii="Verdana" w:hAnsi="Verdana"/>
          <w:color w:val="000000"/>
        </w:rPr>
        <w:t xml:space="preserve"> riportato condanna definitiva per i delitti, consumati o tentati, previsti dagli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articoli 314, 316, 316-bis, 316-ter, 317, 318, 319, 319-ter, 319-quater, primo comma, 320,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321, 322, 322-bis, 323, 325, 326, 331, secondo comma, 334, 346-bis del codice penale;</w:t>
      </w:r>
    </w:p>
    <w:p w14:paraId="04271ED7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d) </w:t>
      </w:r>
      <w:proofErr w:type="gramStart"/>
      <w:r w:rsidRPr="00BF19CB">
        <w:rPr>
          <w:rFonts w:ascii="Verdana" w:hAnsi="Verdana"/>
          <w:color w:val="000000"/>
        </w:rPr>
        <w:t>coloro che sono</w:t>
      </w:r>
      <w:proofErr w:type="gramEnd"/>
      <w:r w:rsidRPr="00BF19CB">
        <w:rPr>
          <w:rFonts w:ascii="Verdana" w:hAnsi="Verdana"/>
          <w:color w:val="000000"/>
        </w:rPr>
        <w:t xml:space="preserve"> stati condannati con sentenza definitiva alla pena della reclusione</w:t>
      </w:r>
    </w:p>
    <w:p w14:paraId="6BD6DD6B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proofErr w:type="gramStart"/>
      <w:r w:rsidRPr="00BF19CB">
        <w:rPr>
          <w:rFonts w:ascii="Verdana" w:hAnsi="Verdana"/>
          <w:color w:val="000000"/>
        </w:rPr>
        <w:t>complessivamente</w:t>
      </w:r>
      <w:proofErr w:type="gramEnd"/>
      <w:r w:rsidRPr="00BF19CB">
        <w:rPr>
          <w:rFonts w:ascii="Verdana" w:hAnsi="Verdana"/>
          <w:color w:val="000000"/>
        </w:rPr>
        <w:t xml:space="preserve"> superiore a sei mesi per uno o più delitti commessi con abuso dei poteri o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con violazione dei doveri inerenti ad una pubblica funzione o a un pubblico servizio diversi da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quelli indicati alla lettera c);</w:t>
      </w:r>
    </w:p>
    <w:p w14:paraId="2CF93E5E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e) </w:t>
      </w:r>
      <w:proofErr w:type="gramStart"/>
      <w:r w:rsidRPr="00BF19CB">
        <w:rPr>
          <w:rFonts w:ascii="Verdana" w:hAnsi="Verdana"/>
          <w:color w:val="000000"/>
        </w:rPr>
        <w:t>coloro che sono</w:t>
      </w:r>
      <w:proofErr w:type="gramEnd"/>
      <w:r w:rsidRPr="00BF19CB">
        <w:rPr>
          <w:rFonts w:ascii="Verdana" w:hAnsi="Verdana"/>
          <w:color w:val="000000"/>
        </w:rPr>
        <w:t xml:space="preserve"> stati condannati con sentenza definitiva ad una pena non inferiore a due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anni di reclusione per delitto non colposo;</w:t>
      </w:r>
    </w:p>
    <w:p w14:paraId="70DA7696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>f) coloro nei cui confronti il tribunale ha applicato, con provvedimento definitivo, una misura di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 xml:space="preserve">prevenzione, </w:t>
      </w:r>
      <w:proofErr w:type="gramStart"/>
      <w:r w:rsidRPr="00BF19CB">
        <w:rPr>
          <w:rFonts w:ascii="Verdana" w:hAnsi="Verdana"/>
          <w:color w:val="000000"/>
        </w:rPr>
        <w:t>in quanto</w:t>
      </w:r>
      <w:proofErr w:type="gramEnd"/>
      <w:r w:rsidRPr="00BF19CB">
        <w:rPr>
          <w:rFonts w:ascii="Verdana" w:hAnsi="Verdana"/>
          <w:color w:val="000000"/>
        </w:rPr>
        <w:t xml:space="preserve"> indiziati di appartenere ad una delle associazioni di cui all'articolo 4,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comma 1, lettere a) e b), del decreto legislativo 6 settembre 2011, n. 159.</w:t>
      </w:r>
    </w:p>
    <w:p w14:paraId="08043B8D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2. Le disposizioni previste dal comma </w:t>
      </w:r>
      <w:proofErr w:type="gramStart"/>
      <w:r w:rsidRPr="00BF19CB">
        <w:rPr>
          <w:rFonts w:ascii="Verdana" w:hAnsi="Verdana"/>
          <w:color w:val="000000"/>
        </w:rPr>
        <w:t>1</w:t>
      </w:r>
      <w:proofErr w:type="gramEnd"/>
      <w:r w:rsidRPr="00BF19CB">
        <w:rPr>
          <w:rFonts w:ascii="Verdana" w:hAnsi="Verdana"/>
          <w:color w:val="000000"/>
        </w:rPr>
        <w:t xml:space="preserve"> si applicano a qualsiasi altro incarico con riferimento al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quale l'elezione o la nomina è di competenza del consiglio regionale, della giunta regionale, dei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rispettivi presidenti e degli assessori regionali.</w:t>
      </w:r>
    </w:p>
    <w:p w14:paraId="256D48CC" w14:textId="77777777" w:rsidR="006440E2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3. L'eventuale elezione o nomina di coloro che si trovano nelle condizioni di cui al comma </w:t>
      </w:r>
      <w:proofErr w:type="gramStart"/>
      <w:r w:rsidRPr="00BF19CB">
        <w:rPr>
          <w:rFonts w:ascii="Verdana" w:hAnsi="Verdana"/>
          <w:color w:val="000000"/>
        </w:rPr>
        <w:t>1</w:t>
      </w:r>
      <w:proofErr w:type="gramEnd"/>
      <w:r w:rsidRPr="00BF19CB">
        <w:rPr>
          <w:rFonts w:ascii="Verdana" w:hAnsi="Verdana"/>
          <w:color w:val="000000"/>
        </w:rPr>
        <w:t xml:space="preserve"> è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 xml:space="preserve">nulla. L'organo che ha deliberato la nomina o la convalida dell'elezione è </w:t>
      </w:r>
      <w:proofErr w:type="gramStart"/>
      <w:r w:rsidRPr="00BF19CB">
        <w:rPr>
          <w:rFonts w:ascii="Verdana" w:hAnsi="Verdana"/>
          <w:color w:val="000000"/>
        </w:rPr>
        <w:t>tenuto</w:t>
      </w:r>
      <w:proofErr w:type="gramEnd"/>
      <w:r w:rsidRPr="00BF19CB">
        <w:rPr>
          <w:rFonts w:ascii="Verdana" w:hAnsi="Verdana"/>
          <w:color w:val="000000"/>
        </w:rPr>
        <w:t xml:space="preserve"> a revocarla non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appena venuto a conoscenza dell'esistenza delle condizioni stesse.</w:t>
      </w:r>
    </w:p>
    <w:p w14:paraId="6C8E72E7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</w:p>
    <w:p w14:paraId="2FDAFBFC" w14:textId="77777777" w:rsidR="006440E2" w:rsidRPr="0050628E" w:rsidRDefault="006440E2" w:rsidP="006440E2">
      <w:pPr>
        <w:widowControl w:val="0"/>
        <w:adjustRightInd w:val="0"/>
        <w:rPr>
          <w:rFonts w:ascii="Verdana" w:hAnsi="Verdana"/>
          <w:i/>
          <w:color w:val="000000"/>
        </w:rPr>
      </w:pPr>
      <w:r w:rsidRPr="008D3207">
        <w:rPr>
          <w:rFonts w:ascii="Verdana" w:hAnsi="Verdana"/>
          <w:b/>
          <w:color w:val="000000"/>
        </w:rPr>
        <w:t>Legge regionale 23 marzo 1995, n. 39</w:t>
      </w:r>
      <w:r w:rsidRPr="00BF19CB">
        <w:rPr>
          <w:rFonts w:ascii="Verdana" w:hAnsi="Verdana"/>
          <w:color w:val="000000"/>
        </w:rPr>
        <w:t xml:space="preserve"> </w:t>
      </w:r>
      <w:r w:rsidRPr="0050628E">
        <w:rPr>
          <w:rFonts w:ascii="Verdana" w:hAnsi="Verdana"/>
          <w:i/>
          <w:color w:val="000000"/>
        </w:rPr>
        <w:t xml:space="preserve">(Criteri e disciplina delle nomine </w:t>
      </w:r>
      <w:proofErr w:type="gramStart"/>
      <w:r w:rsidRPr="0050628E">
        <w:rPr>
          <w:rFonts w:ascii="Verdana" w:hAnsi="Verdana"/>
          <w:i/>
          <w:color w:val="000000"/>
        </w:rPr>
        <w:t>ed</w:t>
      </w:r>
      <w:proofErr w:type="gramEnd"/>
      <w:r w:rsidRPr="0050628E">
        <w:rPr>
          <w:rFonts w:ascii="Verdana" w:hAnsi="Verdana"/>
          <w:i/>
          <w:color w:val="000000"/>
        </w:rPr>
        <w:t xml:space="preserve"> incarichi pubblici di competenza regionale e dei rapporti tra la Regione ed i soggetti nominati)</w:t>
      </w:r>
    </w:p>
    <w:p w14:paraId="7F01B3F5" w14:textId="77777777" w:rsidR="006440E2" w:rsidRDefault="006440E2" w:rsidP="006440E2">
      <w:pPr>
        <w:widowControl w:val="0"/>
        <w:adjustRightInd w:val="0"/>
        <w:rPr>
          <w:rFonts w:ascii="Verdana" w:hAnsi="Verdana"/>
          <w:b/>
          <w:color w:val="000000"/>
        </w:rPr>
      </w:pPr>
    </w:p>
    <w:p w14:paraId="7F61ADCB" w14:textId="77777777" w:rsidR="006440E2" w:rsidRPr="008D3207" w:rsidRDefault="006440E2" w:rsidP="006440E2">
      <w:pPr>
        <w:widowControl w:val="0"/>
        <w:adjustRightInd w:val="0"/>
        <w:rPr>
          <w:rFonts w:ascii="Verdana" w:hAnsi="Verdana"/>
          <w:b/>
          <w:color w:val="000000"/>
        </w:rPr>
      </w:pPr>
      <w:r w:rsidRPr="008D3207">
        <w:rPr>
          <w:rFonts w:ascii="Verdana" w:hAnsi="Verdana"/>
          <w:b/>
          <w:color w:val="000000"/>
        </w:rPr>
        <w:t xml:space="preserve">Articolo </w:t>
      </w:r>
      <w:proofErr w:type="gramStart"/>
      <w:r w:rsidRPr="008D3207">
        <w:rPr>
          <w:rFonts w:ascii="Verdana" w:hAnsi="Verdana"/>
          <w:b/>
          <w:color w:val="000000"/>
        </w:rPr>
        <w:t>13</w:t>
      </w:r>
      <w:proofErr w:type="gramEnd"/>
      <w:r w:rsidRPr="008D3207">
        <w:rPr>
          <w:rFonts w:ascii="Verdana" w:hAnsi="Verdana"/>
          <w:b/>
          <w:color w:val="000000"/>
        </w:rPr>
        <w:t xml:space="preserve"> bis</w:t>
      </w:r>
    </w:p>
    <w:p w14:paraId="6155453F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>1. A coloro che nei due anni precedenti hanno ricoperto la carica di Presidente del Consiglio dei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ministri, ministro, vice ministro, sottosegretario di Stato, parlamentare, commissario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 xml:space="preserve">straordinario del Governo di cui all'articolo </w:t>
      </w:r>
      <w:proofErr w:type="gramStart"/>
      <w:r w:rsidRPr="00BF19CB">
        <w:rPr>
          <w:rFonts w:ascii="Verdana" w:hAnsi="Verdana"/>
          <w:color w:val="000000"/>
        </w:rPr>
        <w:t>11</w:t>
      </w:r>
      <w:proofErr w:type="gramEnd"/>
      <w:r w:rsidRPr="00BF19CB">
        <w:rPr>
          <w:rFonts w:ascii="Verdana" w:hAnsi="Verdana"/>
          <w:color w:val="000000"/>
        </w:rPr>
        <w:t xml:space="preserve"> della legge 23 agosto 1988, n. 400 e</w:t>
      </w:r>
    </w:p>
    <w:p w14:paraId="1F4E6F82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proofErr w:type="gramStart"/>
      <w:r w:rsidRPr="00BF19CB">
        <w:rPr>
          <w:rFonts w:ascii="Verdana" w:hAnsi="Verdana"/>
          <w:color w:val="000000"/>
        </w:rPr>
        <w:t>parlamentare</w:t>
      </w:r>
      <w:proofErr w:type="gramEnd"/>
      <w:r w:rsidRPr="00BF19CB">
        <w:rPr>
          <w:rFonts w:ascii="Verdana" w:hAnsi="Verdana"/>
          <w:color w:val="000000"/>
        </w:rPr>
        <w:t xml:space="preserve"> europeo non può essere conferito un incarico nelle nomine e designazioni di</w:t>
      </w:r>
    </w:p>
    <w:p w14:paraId="1F189E1A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proofErr w:type="gramStart"/>
      <w:r w:rsidRPr="00BF19CB">
        <w:rPr>
          <w:rFonts w:ascii="Verdana" w:hAnsi="Verdana"/>
          <w:color w:val="000000"/>
        </w:rPr>
        <w:t>competenza</w:t>
      </w:r>
      <w:proofErr w:type="gramEnd"/>
      <w:r w:rsidRPr="00BF19CB">
        <w:rPr>
          <w:rFonts w:ascii="Verdana" w:hAnsi="Verdana"/>
          <w:color w:val="000000"/>
        </w:rPr>
        <w:t xml:space="preserve"> della Giunta ai sensi dell'articolo 2, comma 2, nonché nelle nomine e designazioni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di competenza del Consiglio Regionale relative ai componenti:</w:t>
      </w:r>
    </w:p>
    <w:p w14:paraId="0E76170D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color w:val="000000"/>
        </w:rPr>
      </w:pPr>
      <w:r w:rsidRPr="00BF19CB">
        <w:rPr>
          <w:rFonts w:ascii="Verdana" w:hAnsi="Verdana"/>
          <w:color w:val="000000"/>
        </w:rPr>
        <w:t xml:space="preserve">a) degli organi </w:t>
      </w:r>
      <w:proofErr w:type="gramStart"/>
      <w:r w:rsidRPr="00BF19CB">
        <w:rPr>
          <w:rFonts w:ascii="Verdana" w:hAnsi="Verdana"/>
          <w:color w:val="000000"/>
        </w:rPr>
        <w:t>collegiali</w:t>
      </w:r>
      <w:proofErr w:type="gramEnd"/>
      <w:r w:rsidRPr="00BF19CB">
        <w:rPr>
          <w:rFonts w:ascii="Verdana" w:hAnsi="Verdana"/>
          <w:color w:val="000000"/>
        </w:rPr>
        <w:t xml:space="preserve"> di amministrazione, Sindaci e revisori dei conti di Istituti pubblici anche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>economici;</w:t>
      </w:r>
    </w:p>
    <w:p w14:paraId="635F0BC3" w14:textId="77777777" w:rsidR="006440E2" w:rsidRPr="00BF19CB" w:rsidRDefault="006440E2" w:rsidP="006440E2">
      <w:pPr>
        <w:widowControl w:val="0"/>
        <w:adjustRightInd w:val="0"/>
        <w:rPr>
          <w:rFonts w:ascii="Verdana" w:hAnsi="Verdana"/>
          <w:i/>
          <w:snapToGrid w:val="0"/>
        </w:rPr>
      </w:pPr>
      <w:r w:rsidRPr="00BF19CB">
        <w:rPr>
          <w:rFonts w:ascii="Verdana" w:hAnsi="Verdana"/>
          <w:color w:val="000000"/>
        </w:rPr>
        <w:t>b) degli organi collegiali di amministrazione, Sindaci e revisori dei conti di Enti o Istituti privati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  <w:color w:val="000000"/>
        </w:rPr>
        <w:t xml:space="preserve">al cui finanziamento la Regione concorra in via </w:t>
      </w:r>
      <w:proofErr w:type="gramStart"/>
      <w:r w:rsidRPr="00BF19CB">
        <w:rPr>
          <w:rFonts w:ascii="Verdana" w:hAnsi="Verdana"/>
          <w:color w:val="000000"/>
        </w:rPr>
        <w:t>continuativa</w:t>
      </w:r>
      <w:proofErr w:type="gramEnd"/>
      <w:r w:rsidRPr="00BF19CB">
        <w:rPr>
          <w:rFonts w:ascii="Verdana" w:hAnsi="Verdana"/>
          <w:color w:val="000000"/>
        </w:rPr>
        <w:t xml:space="preserve"> e di organi ed organismi, di</w:t>
      </w:r>
      <w:r>
        <w:rPr>
          <w:rFonts w:ascii="Verdana" w:hAnsi="Verdana"/>
          <w:color w:val="000000"/>
        </w:rPr>
        <w:t xml:space="preserve"> </w:t>
      </w:r>
      <w:r w:rsidRPr="00BF19CB">
        <w:rPr>
          <w:rFonts w:ascii="Verdana" w:hAnsi="Verdana"/>
        </w:rPr>
        <w:t>particolare rilievo, individuati con apposita deliberazione del Consiglio Regionale</w:t>
      </w:r>
    </w:p>
    <w:p w14:paraId="505320F7" w14:textId="77777777" w:rsidR="006440E2" w:rsidRPr="00BF19CB" w:rsidRDefault="006440E2" w:rsidP="006440E2">
      <w:pPr>
        <w:pStyle w:val="axNormal"/>
        <w:widowControl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Verdana" w:hAnsi="Verdana" w:cs="Times New Roman"/>
          <w:i/>
          <w:snapToGrid w:val="0"/>
        </w:rPr>
      </w:pPr>
    </w:p>
    <w:p w14:paraId="20247781" w14:textId="77777777" w:rsidR="006440E2" w:rsidRPr="00BF19CB" w:rsidRDefault="006440E2" w:rsidP="006440E2">
      <w:pPr>
        <w:pStyle w:val="axNormal"/>
        <w:widowControl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Verdana" w:hAnsi="Verdana" w:cs="Times New Roman"/>
          <w:i/>
          <w:snapToGrid w:val="0"/>
        </w:rPr>
      </w:pPr>
    </w:p>
    <w:p w14:paraId="32094630" w14:textId="77777777" w:rsidR="006440E2" w:rsidRDefault="006440E2" w:rsidP="006440E2">
      <w:pPr>
        <w:pStyle w:val="axNormal"/>
        <w:widowControl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28D66D5D" w14:textId="77777777" w:rsidR="006440E2" w:rsidRDefault="006440E2" w:rsidP="006440E2">
      <w:pPr>
        <w:pStyle w:val="axNormal"/>
        <w:widowControl/>
        <w:tabs>
          <w:tab w:val="clear" w:pos="1440"/>
          <w:tab w:val="left" w:pos="288"/>
          <w:tab w:val="left" w:pos="3600"/>
          <w:tab w:val="left" w:pos="5040"/>
          <w:tab w:val="left" w:pos="6480"/>
          <w:tab w:val="left" w:pos="7920"/>
        </w:tabs>
        <w:ind w:right="28"/>
        <w:rPr>
          <w:rFonts w:ascii="Frutiger LT Pro 47 Light Cn" w:hAnsi="Frutiger LT Pro 47 Light Cn" w:cs="Times New Roman"/>
          <w:i/>
          <w:snapToGrid w:val="0"/>
        </w:rPr>
      </w:pPr>
    </w:p>
    <w:p w14:paraId="452E5F07" w14:textId="77777777" w:rsidR="00173639" w:rsidRDefault="00173639"/>
    <w:sectPr w:rsidR="00173639" w:rsidSect="00173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422"/>
    <w:multiLevelType w:val="multilevel"/>
    <w:tmpl w:val="A95E297A"/>
    <w:styleLink w:val="Stile8"/>
    <w:lvl w:ilvl="0">
      <w:start w:val="1"/>
      <w:numFmt w:val="none"/>
      <w:lvlText w:val="4"/>
      <w:lvlJc w:val="left"/>
      <w:pPr>
        <w:tabs>
          <w:tab w:val="num" w:pos="357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3"/>
      <w:numFmt w:val="decimal"/>
      <w:lvlRestart w:val="0"/>
      <w:lvlText w:val="4.%2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2"/>
    <w:rsid w:val="00173639"/>
    <w:rsid w:val="003F2568"/>
    <w:rsid w:val="006440E2"/>
    <w:rsid w:val="00B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C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0E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6440E2"/>
    <w:pPr>
      <w:widowControl w:val="0"/>
      <w:tabs>
        <w:tab w:val="left" w:pos="720"/>
        <w:tab w:val="left" w:pos="1440"/>
        <w:tab w:val="left" w:pos="2160"/>
      </w:tabs>
      <w:autoSpaceDE/>
      <w:autoSpaceDN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0E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8">
    <w:name w:val="Stile8"/>
    <w:uiPriority w:val="99"/>
    <w:rsid w:val="00BA1D7F"/>
    <w:pPr>
      <w:numPr>
        <w:numId w:val="1"/>
      </w:numPr>
    </w:pPr>
  </w:style>
  <w:style w:type="paragraph" w:customStyle="1" w:styleId="axNormal">
    <w:name w:val="axNormal"/>
    <w:basedOn w:val="Normale"/>
    <w:rsid w:val="006440E2"/>
    <w:pPr>
      <w:widowControl w:val="0"/>
      <w:tabs>
        <w:tab w:val="left" w:pos="720"/>
        <w:tab w:val="left" w:pos="1440"/>
        <w:tab w:val="left" w:pos="2160"/>
      </w:tabs>
      <w:autoSpaceDE/>
      <w:autoSpaceDN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5250</Characters>
  <Application>Microsoft Macintosh Word</Application>
  <DocSecurity>0</DocSecurity>
  <Lines>43</Lines>
  <Paragraphs>12</Paragraphs>
  <ScaleCrop>false</ScaleCrop>
  <Company>ivano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De Negri</dc:creator>
  <cp:keywords/>
  <dc:description/>
  <cp:lastModifiedBy>Ivano De Negri</cp:lastModifiedBy>
  <cp:revision>2</cp:revision>
  <dcterms:created xsi:type="dcterms:W3CDTF">2019-09-22T15:31:00Z</dcterms:created>
  <dcterms:modified xsi:type="dcterms:W3CDTF">2019-09-22T15:51:00Z</dcterms:modified>
</cp:coreProperties>
</file>